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647F" w14:textId="4CE5A35B" w:rsidR="00B51841" w:rsidRDefault="00B51841" w:rsidP="00B51841">
      <w:pPr>
        <w:pStyle w:val="Title"/>
        <w:jc w:val="center"/>
        <w:rPr>
          <w:b/>
          <w:color w:val="3D63AE"/>
          <w:sz w:val="36"/>
          <w:szCs w:val="32"/>
        </w:rPr>
      </w:pPr>
      <w:r w:rsidRPr="00015120">
        <w:rPr>
          <w:b/>
          <w:noProof/>
          <w:color w:val="3D63AE"/>
          <w:sz w:val="36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251AEB41" wp14:editId="14BFD70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98500" cy="38354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D63AE"/>
          <w:sz w:val="36"/>
          <w:szCs w:val="32"/>
        </w:rPr>
        <w:t>Improved System</w:t>
      </w:r>
      <w:r w:rsidR="00A034F1">
        <w:rPr>
          <w:b/>
          <w:color w:val="3D63AE"/>
          <w:sz w:val="36"/>
          <w:szCs w:val="32"/>
        </w:rPr>
        <w:t xml:space="preserve"> </w:t>
      </w:r>
      <w:r>
        <w:rPr>
          <w:b/>
          <w:color w:val="3D63AE"/>
          <w:sz w:val="36"/>
          <w:szCs w:val="32"/>
        </w:rPr>
        <w:t>Performance</w:t>
      </w:r>
      <w:r w:rsidRPr="00015120">
        <w:rPr>
          <w:b/>
          <w:color w:val="3D63AE"/>
          <w:sz w:val="36"/>
          <w:szCs w:val="32"/>
        </w:rPr>
        <w:t xml:space="preserve"> Team </w:t>
      </w:r>
    </w:p>
    <w:p w14:paraId="7B246C76" w14:textId="14B08468" w:rsidR="00E9737B" w:rsidRDefault="00F62A9C" w:rsidP="00CB5677">
      <w:pPr>
        <w:pStyle w:val="Title"/>
        <w:jc w:val="center"/>
        <w:rPr>
          <w:rFonts w:asciiTheme="minorHAnsi" w:hAnsiTheme="minorHAnsi"/>
          <w:color w:val="auto"/>
          <w:sz w:val="28"/>
          <w:szCs w:val="26"/>
        </w:rPr>
      </w:pPr>
      <w:r>
        <w:rPr>
          <w:rFonts w:asciiTheme="minorHAnsi" w:hAnsiTheme="minorHAnsi"/>
          <w:color w:val="auto"/>
          <w:sz w:val="28"/>
          <w:szCs w:val="26"/>
        </w:rPr>
        <w:t>Sarah Good, Team Chair</w:t>
      </w:r>
    </w:p>
    <w:p w14:paraId="1424F679" w14:textId="329DD2BA" w:rsidR="00B51841" w:rsidRDefault="00CB5677" w:rsidP="00E9737B">
      <w:pPr>
        <w:pStyle w:val="Title"/>
        <w:jc w:val="center"/>
        <w:rPr>
          <w:rFonts w:asciiTheme="minorHAnsi" w:hAnsiTheme="minorHAnsi"/>
          <w:color w:val="auto"/>
          <w:sz w:val="28"/>
          <w:szCs w:val="26"/>
        </w:rPr>
      </w:pPr>
      <w:r w:rsidRPr="001E6A4A">
        <w:rPr>
          <w:rFonts w:asciiTheme="minorHAnsi" w:hAnsiTheme="minorHAnsi"/>
          <w:color w:val="auto"/>
          <w:sz w:val="28"/>
          <w:szCs w:val="26"/>
        </w:rPr>
        <w:t xml:space="preserve">Friday, </w:t>
      </w:r>
      <w:r w:rsidR="00F933DC">
        <w:rPr>
          <w:rFonts w:asciiTheme="minorHAnsi" w:hAnsiTheme="minorHAnsi"/>
          <w:color w:val="auto"/>
          <w:sz w:val="28"/>
          <w:szCs w:val="26"/>
        </w:rPr>
        <w:t>November 5</w:t>
      </w:r>
      <w:r w:rsidR="00F527F5">
        <w:rPr>
          <w:rFonts w:asciiTheme="minorHAnsi" w:hAnsiTheme="minorHAnsi"/>
          <w:color w:val="auto"/>
          <w:sz w:val="28"/>
          <w:szCs w:val="26"/>
        </w:rPr>
        <w:t>, 2021</w:t>
      </w:r>
    </w:p>
    <w:p w14:paraId="3D785302" w14:textId="59262190" w:rsidR="00C53D58" w:rsidRPr="00C53D58" w:rsidRDefault="00C53D58" w:rsidP="00C53D58">
      <w:pPr>
        <w:jc w:val="center"/>
        <w:rPr>
          <w:i/>
          <w:iCs/>
          <w:lang w:eastAsia="ja-JP"/>
        </w:rPr>
      </w:pPr>
      <w:r w:rsidRPr="00C53D58">
        <w:rPr>
          <w:i/>
          <w:iCs/>
          <w:lang w:eastAsia="ja-JP"/>
        </w:rPr>
        <w:t>9:3</w:t>
      </w:r>
      <w:r>
        <w:rPr>
          <w:i/>
          <w:iCs/>
          <w:lang w:eastAsia="ja-JP"/>
        </w:rPr>
        <w:t>5</w:t>
      </w:r>
      <w:r w:rsidRPr="00C53D58">
        <w:rPr>
          <w:i/>
          <w:iCs/>
          <w:lang w:eastAsia="ja-JP"/>
        </w:rPr>
        <w:t>-10:</w:t>
      </w:r>
      <w:r>
        <w:rPr>
          <w:i/>
          <w:iCs/>
          <w:lang w:eastAsia="ja-JP"/>
        </w:rPr>
        <w:t>1</w:t>
      </w:r>
      <w:r w:rsidRPr="00C53D58">
        <w:rPr>
          <w:i/>
          <w:iCs/>
          <w:lang w:eastAsia="ja-JP"/>
        </w:rPr>
        <w:t>0 a.m.</w:t>
      </w:r>
    </w:p>
    <w:p w14:paraId="1E260DAE" w14:textId="77777777" w:rsidR="00D973BB" w:rsidRPr="00D973BB" w:rsidRDefault="00D973BB" w:rsidP="00B51841">
      <w:pPr>
        <w:spacing w:after="0"/>
        <w:rPr>
          <w:iCs/>
          <w:color w:val="262626" w:themeColor="text1" w:themeTint="D9"/>
          <w:sz w:val="21"/>
          <w:szCs w:val="21"/>
        </w:rPr>
      </w:pPr>
    </w:p>
    <w:p w14:paraId="037BF37B" w14:textId="171ACB76" w:rsidR="00F527F5" w:rsidRPr="00485144" w:rsidRDefault="00B51841" w:rsidP="00882CC0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b/>
          <w:sz w:val="24"/>
          <w:szCs w:val="24"/>
        </w:rPr>
      </w:pPr>
      <w:r w:rsidRPr="00882CC0">
        <w:rPr>
          <w:sz w:val="24"/>
          <w:szCs w:val="24"/>
        </w:rPr>
        <w:t>Welcome and Introductions</w:t>
      </w:r>
    </w:p>
    <w:p w14:paraId="79FC1CFE" w14:textId="77777777" w:rsidR="00485144" w:rsidRPr="00882CC0" w:rsidRDefault="00485144" w:rsidP="00485144">
      <w:pPr>
        <w:pStyle w:val="ListParagraph"/>
        <w:spacing w:after="0" w:line="252" w:lineRule="auto"/>
        <w:ind w:left="360"/>
        <w:contextualSpacing w:val="0"/>
        <w:rPr>
          <w:b/>
          <w:sz w:val="24"/>
          <w:szCs w:val="24"/>
        </w:rPr>
      </w:pPr>
    </w:p>
    <w:p w14:paraId="568E8538" w14:textId="6EFDC417" w:rsidR="0077205A" w:rsidRPr="00882CC0" w:rsidRDefault="0077205A" w:rsidP="00F527F5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b/>
          <w:sz w:val="24"/>
          <w:szCs w:val="24"/>
        </w:rPr>
      </w:pPr>
      <w:r w:rsidRPr="00882CC0">
        <w:rPr>
          <w:sz w:val="24"/>
          <w:szCs w:val="24"/>
        </w:rPr>
        <w:t>Recap from last meeting</w:t>
      </w:r>
    </w:p>
    <w:p w14:paraId="32CC3592" w14:textId="4A7D6937" w:rsidR="00D973BB" w:rsidRDefault="00F933DC" w:rsidP="00F933DC">
      <w:pPr>
        <w:pStyle w:val="ListParagraph"/>
        <w:numPr>
          <w:ilvl w:val="1"/>
          <w:numId w:val="3"/>
        </w:numPr>
        <w:spacing w:after="0" w:line="252" w:lineRule="auto"/>
      </w:pPr>
      <w:r>
        <w:t>Vision casting for Improved Systems Performance Team 2021-2022</w:t>
      </w:r>
    </w:p>
    <w:p w14:paraId="483A3A46" w14:textId="76FD972A" w:rsidR="00F933DC" w:rsidRDefault="00F933DC" w:rsidP="00F933DC">
      <w:pPr>
        <w:pStyle w:val="ListParagraph"/>
        <w:numPr>
          <w:ilvl w:val="1"/>
          <w:numId w:val="3"/>
        </w:numPr>
        <w:spacing w:after="0" w:line="252" w:lineRule="auto"/>
      </w:pPr>
      <w:r>
        <w:t>Data discussion (</w:t>
      </w:r>
      <w:proofErr w:type="spellStart"/>
      <w:r>
        <w:t>WebIZ</w:t>
      </w:r>
      <w:proofErr w:type="spellEnd"/>
      <w:r>
        <w:t>, data training, alternative sources to same data from KHIN, data analytic component needs access to data)</w:t>
      </w:r>
    </w:p>
    <w:p w14:paraId="29B0FD1D" w14:textId="56808C96" w:rsidR="00F933DC" w:rsidRPr="00F933DC" w:rsidRDefault="00F933DC" w:rsidP="00F933DC">
      <w:pPr>
        <w:pStyle w:val="ListParagraph"/>
        <w:numPr>
          <w:ilvl w:val="1"/>
          <w:numId w:val="3"/>
        </w:numPr>
        <w:spacing w:after="0" w:line="252" w:lineRule="auto"/>
      </w:pPr>
      <w:r>
        <w:t>#KansasFightsFlu update (webpage, flu vaccination goals, Collegiate Challenge)</w:t>
      </w:r>
    </w:p>
    <w:p w14:paraId="786A4ED5" w14:textId="1719A3A2" w:rsidR="00485144" w:rsidRPr="00485144" w:rsidRDefault="00485144" w:rsidP="00485144">
      <w:pPr>
        <w:spacing w:after="0" w:line="252" w:lineRule="auto"/>
        <w:rPr>
          <w:sz w:val="24"/>
          <w:szCs w:val="24"/>
        </w:rPr>
      </w:pPr>
    </w:p>
    <w:p w14:paraId="0F7F84B2" w14:textId="0A2F939D" w:rsidR="00485144" w:rsidRPr="00485144" w:rsidRDefault="00485144" w:rsidP="00485144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Next steps for expanded data access</w:t>
      </w:r>
      <w:r w:rsidR="00D24D48">
        <w:rPr>
          <w:sz w:val="24"/>
          <w:szCs w:val="24"/>
        </w:rPr>
        <w:t>: Web IZ versus KHIN</w:t>
      </w:r>
    </w:p>
    <w:p w14:paraId="58C3BB55" w14:textId="77777777" w:rsidR="00485144" w:rsidRDefault="00485144" w:rsidP="00485144">
      <w:pPr>
        <w:pStyle w:val="ListParagraph"/>
        <w:spacing w:after="0" w:line="252" w:lineRule="auto"/>
        <w:ind w:left="360"/>
        <w:contextualSpacing w:val="0"/>
        <w:rPr>
          <w:sz w:val="24"/>
          <w:szCs w:val="24"/>
        </w:rPr>
      </w:pPr>
    </w:p>
    <w:p w14:paraId="0687AED2" w14:textId="109C2BE5" w:rsidR="00485144" w:rsidRPr="00230096" w:rsidRDefault="00B563EF" w:rsidP="00485144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i/>
          <w:iCs/>
          <w:sz w:val="24"/>
          <w:szCs w:val="24"/>
        </w:rPr>
      </w:pPr>
      <w:r>
        <w:rPr>
          <w:sz w:val="24"/>
          <w:szCs w:val="24"/>
        </w:rPr>
        <w:t>Data Update (Influenza)</w:t>
      </w:r>
    </w:p>
    <w:p w14:paraId="022761AA" w14:textId="730D253E" w:rsidR="00B563EF" w:rsidRPr="00230096" w:rsidRDefault="00B563EF" w:rsidP="00B563EF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i/>
          <w:iCs/>
          <w:sz w:val="24"/>
          <w:szCs w:val="24"/>
        </w:rPr>
      </w:pPr>
      <w:r>
        <w:rPr>
          <w:sz w:val="24"/>
          <w:szCs w:val="24"/>
        </w:rPr>
        <w:t>Target: 70%</w:t>
      </w:r>
    </w:p>
    <w:p w14:paraId="5A5ABBCD" w14:textId="18EEBBD8" w:rsidR="00B563EF" w:rsidRPr="00230096" w:rsidRDefault="00B563EF" w:rsidP="00B563EF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i/>
          <w:iCs/>
          <w:sz w:val="24"/>
          <w:szCs w:val="24"/>
        </w:rPr>
      </w:pPr>
      <w:r>
        <w:rPr>
          <w:sz w:val="24"/>
          <w:szCs w:val="24"/>
        </w:rPr>
        <w:t>US Baseline: 49.2% of persons aged 6mo and over were vaccinated against seasonal influenza for the flu season 2017-18</w:t>
      </w:r>
    </w:p>
    <w:p w14:paraId="19A8FA21" w14:textId="36AD7C15" w:rsidR="00B563EF" w:rsidRPr="00230096" w:rsidRDefault="00B563EF" w:rsidP="00B563EF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i/>
          <w:iCs/>
          <w:sz w:val="24"/>
          <w:szCs w:val="24"/>
        </w:rPr>
      </w:pPr>
      <w:r>
        <w:rPr>
          <w:sz w:val="24"/>
          <w:szCs w:val="24"/>
        </w:rPr>
        <w:t>Kansas Comparable Baseline: 41.1% of persons aged 6mo and over were vaccinated against seasonal influenza for the flu season 2017-18 in KS</w:t>
      </w:r>
    </w:p>
    <w:p w14:paraId="387E0147" w14:textId="7DF4EC4E" w:rsidR="00B563EF" w:rsidRDefault="00B563EF" w:rsidP="00B563EF">
      <w:pPr>
        <w:spacing w:after="0" w:line="252" w:lineRule="auto"/>
        <w:rPr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B563EF" w:rsidRPr="00B563EF" w14:paraId="0D1857FC" w14:textId="77777777" w:rsidTr="00B563EF">
        <w:tc>
          <w:tcPr>
            <w:tcW w:w="3356" w:type="dxa"/>
          </w:tcPr>
          <w:p w14:paraId="3DF9DF48" w14:textId="5A03198E" w:rsidR="00B563EF" w:rsidRPr="00230096" w:rsidRDefault="00B563EF" w:rsidP="00B563E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230096">
              <w:rPr>
                <w:b/>
                <w:bCs/>
                <w:sz w:val="24"/>
                <w:szCs w:val="24"/>
              </w:rPr>
              <w:t>Flu Season</w:t>
            </w:r>
          </w:p>
        </w:tc>
        <w:tc>
          <w:tcPr>
            <w:tcW w:w="3357" w:type="dxa"/>
          </w:tcPr>
          <w:p w14:paraId="35F7A712" w14:textId="0A650686" w:rsidR="00B563EF" w:rsidRPr="00230096" w:rsidRDefault="00B563EF" w:rsidP="00B563E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230096">
              <w:rPr>
                <w:b/>
                <w:bCs/>
                <w:sz w:val="24"/>
                <w:szCs w:val="24"/>
              </w:rPr>
              <w:t>Children</w:t>
            </w:r>
          </w:p>
        </w:tc>
        <w:tc>
          <w:tcPr>
            <w:tcW w:w="3357" w:type="dxa"/>
          </w:tcPr>
          <w:p w14:paraId="78D1362D" w14:textId="02C471F0" w:rsidR="00B563EF" w:rsidRPr="00230096" w:rsidRDefault="00B563EF" w:rsidP="00B563E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230096">
              <w:rPr>
                <w:b/>
                <w:bCs/>
                <w:sz w:val="24"/>
                <w:szCs w:val="24"/>
              </w:rPr>
              <w:t>Adults</w:t>
            </w:r>
          </w:p>
        </w:tc>
      </w:tr>
      <w:tr w:rsidR="00B563EF" w:rsidRPr="00B563EF" w14:paraId="20DFA774" w14:textId="77777777" w:rsidTr="00230096">
        <w:tc>
          <w:tcPr>
            <w:tcW w:w="3356" w:type="dxa"/>
            <w:shd w:val="clear" w:color="auto" w:fill="DEEAF6" w:themeFill="accent1" w:themeFillTint="33"/>
          </w:tcPr>
          <w:p w14:paraId="79F406EE" w14:textId="1A0F3380" w:rsidR="00B563EF" w:rsidRPr="00230096" w:rsidRDefault="00B563EF" w:rsidP="00B563EF">
            <w:pPr>
              <w:spacing w:line="252" w:lineRule="auto"/>
              <w:rPr>
                <w:sz w:val="24"/>
                <w:szCs w:val="24"/>
              </w:rPr>
            </w:pPr>
            <w:r w:rsidRPr="00230096">
              <w:rPr>
                <w:sz w:val="24"/>
                <w:szCs w:val="24"/>
              </w:rPr>
              <w:t>2020-21</w:t>
            </w:r>
          </w:p>
        </w:tc>
        <w:tc>
          <w:tcPr>
            <w:tcW w:w="3357" w:type="dxa"/>
            <w:shd w:val="clear" w:color="auto" w:fill="DEEAF6" w:themeFill="accent1" w:themeFillTint="33"/>
          </w:tcPr>
          <w:p w14:paraId="21BAD4FE" w14:textId="4A032248" w:rsidR="00B563EF" w:rsidRPr="00230096" w:rsidRDefault="00B563EF" w:rsidP="00B563EF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56.7% </w:t>
            </w:r>
            <w:r w:rsidRPr="00230096">
              <w:rPr>
                <w:color w:val="FF0000"/>
                <w:sz w:val="18"/>
                <w:szCs w:val="18"/>
              </w:rPr>
              <w:t>(-9.4%)</w:t>
            </w:r>
          </w:p>
        </w:tc>
        <w:tc>
          <w:tcPr>
            <w:tcW w:w="3357" w:type="dxa"/>
            <w:shd w:val="clear" w:color="auto" w:fill="DEEAF6" w:themeFill="accent1" w:themeFillTint="33"/>
          </w:tcPr>
          <w:p w14:paraId="1789E9EB" w14:textId="51937537" w:rsidR="00B563EF" w:rsidRPr="00230096" w:rsidRDefault="00B563EF" w:rsidP="00B563EF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51.9% </w:t>
            </w:r>
            <w:r w:rsidRPr="00230096">
              <w:rPr>
                <w:sz w:val="18"/>
                <w:szCs w:val="18"/>
              </w:rPr>
              <w:t>(+1.0%)</w:t>
            </w:r>
          </w:p>
        </w:tc>
      </w:tr>
      <w:tr w:rsidR="00B563EF" w:rsidRPr="00B563EF" w14:paraId="51420F2A" w14:textId="77777777" w:rsidTr="00B563EF">
        <w:tc>
          <w:tcPr>
            <w:tcW w:w="3356" w:type="dxa"/>
          </w:tcPr>
          <w:p w14:paraId="3F27C0C4" w14:textId="4B410170" w:rsidR="00B563EF" w:rsidRPr="00230096" w:rsidRDefault="00B563EF" w:rsidP="00B563EF">
            <w:pPr>
              <w:spacing w:line="252" w:lineRule="auto"/>
              <w:rPr>
                <w:sz w:val="24"/>
                <w:szCs w:val="24"/>
              </w:rPr>
            </w:pPr>
            <w:r w:rsidRPr="00230096">
              <w:rPr>
                <w:sz w:val="24"/>
                <w:szCs w:val="24"/>
              </w:rPr>
              <w:t>2019-20</w:t>
            </w:r>
          </w:p>
        </w:tc>
        <w:tc>
          <w:tcPr>
            <w:tcW w:w="3357" w:type="dxa"/>
          </w:tcPr>
          <w:p w14:paraId="731AFECF" w14:textId="037E4AF4" w:rsidR="00B563EF" w:rsidRPr="00230096" w:rsidRDefault="00B563EF" w:rsidP="00B563EF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66.1% </w:t>
            </w:r>
            <w:r w:rsidRPr="00230096">
              <w:rPr>
                <w:sz w:val="18"/>
                <w:szCs w:val="18"/>
              </w:rPr>
              <w:t>(+2.5%)</w:t>
            </w:r>
          </w:p>
        </w:tc>
        <w:tc>
          <w:tcPr>
            <w:tcW w:w="3357" w:type="dxa"/>
          </w:tcPr>
          <w:p w14:paraId="6DAE42B5" w14:textId="2565270B" w:rsidR="00B563EF" w:rsidRPr="00230096" w:rsidRDefault="00B563EF" w:rsidP="00B563EF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50.9% </w:t>
            </w:r>
            <w:r w:rsidRPr="00230096">
              <w:rPr>
                <w:sz w:val="18"/>
                <w:szCs w:val="18"/>
              </w:rPr>
              <w:t>(+4.1%)</w:t>
            </w:r>
          </w:p>
        </w:tc>
      </w:tr>
      <w:tr w:rsidR="00B563EF" w:rsidRPr="00B563EF" w14:paraId="09B5FD88" w14:textId="77777777" w:rsidTr="00B563EF">
        <w:tc>
          <w:tcPr>
            <w:tcW w:w="3356" w:type="dxa"/>
          </w:tcPr>
          <w:p w14:paraId="6E4CB05F" w14:textId="6A0B7D86" w:rsidR="00B563EF" w:rsidRPr="00230096" w:rsidRDefault="00B563EF" w:rsidP="00B563EF">
            <w:pPr>
              <w:spacing w:line="252" w:lineRule="auto"/>
              <w:rPr>
                <w:sz w:val="24"/>
                <w:szCs w:val="24"/>
              </w:rPr>
            </w:pPr>
            <w:r w:rsidRPr="00230096">
              <w:rPr>
                <w:sz w:val="24"/>
                <w:szCs w:val="24"/>
              </w:rPr>
              <w:t>2018-19</w:t>
            </w:r>
          </w:p>
        </w:tc>
        <w:tc>
          <w:tcPr>
            <w:tcW w:w="3357" w:type="dxa"/>
          </w:tcPr>
          <w:p w14:paraId="0F171EDB" w14:textId="578FC9C7" w:rsidR="00B563EF" w:rsidRPr="00230096" w:rsidRDefault="00B563EF" w:rsidP="00B563EF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63.6% </w:t>
            </w:r>
            <w:r w:rsidRPr="00230096">
              <w:rPr>
                <w:sz w:val="18"/>
                <w:szCs w:val="18"/>
              </w:rPr>
              <w:t>(+10.4%)</w:t>
            </w:r>
          </w:p>
        </w:tc>
        <w:tc>
          <w:tcPr>
            <w:tcW w:w="3357" w:type="dxa"/>
          </w:tcPr>
          <w:p w14:paraId="0507723B" w14:textId="4A560919" w:rsidR="00B563EF" w:rsidRPr="00230096" w:rsidRDefault="00B563EF" w:rsidP="00B563EF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46.8% </w:t>
            </w:r>
            <w:r w:rsidRPr="00230096">
              <w:rPr>
                <w:sz w:val="18"/>
                <w:szCs w:val="18"/>
              </w:rPr>
              <w:t>(+9.5%)</w:t>
            </w:r>
          </w:p>
        </w:tc>
      </w:tr>
      <w:tr w:rsidR="00B563EF" w:rsidRPr="00B563EF" w14:paraId="274BBF5B" w14:textId="77777777" w:rsidTr="00B563EF">
        <w:tc>
          <w:tcPr>
            <w:tcW w:w="3356" w:type="dxa"/>
          </w:tcPr>
          <w:p w14:paraId="25CBF172" w14:textId="6CCD0FBF" w:rsidR="00B563EF" w:rsidRPr="00230096" w:rsidRDefault="00B563EF" w:rsidP="00B563EF">
            <w:pPr>
              <w:spacing w:line="252" w:lineRule="auto"/>
              <w:rPr>
                <w:sz w:val="24"/>
                <w:szCs w:val="24"/>
              </w:rPr>
            </w:pPr>
            <w:r w:rsidRPr="00230096">
              <w:rPr>
                <w:sz w:val="24"/>
                <w:szCs w:val="24"/>
              </w:rPr>
              <w:t>2017-18</w:t>
            </w:r>
          </w:p>
        </w:tc>
        <w:tc>
          <w:tcPr>
            <w:tcW w:w="3357" w:type="dxa"/>
          </w:tcPr>
          <w:p w14:paraId="1BFA6E3E" w14:textId="0A649735" w:rsidR="00B563EF" w:rsidRPr="00230096" w:rsidRDefault="00B563EF" w:rsidP="00B563EF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53.2% </w:t>
            </w:r>
          </w:p>
        </w:tc>
        <w:tc>
          <w:tcPr>
            <w:tcW w:w="3357" w:type="dxa"/>
          </w:tcPr>
          <w:p w14:paraId="71641377" w14:textId="458C6D6C" w:rsidR="00B563EF" w:rsidRPr="00230096" w:rsidRDefault="00B563EF" w:rsidP="00B563EF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37.3%</w:t>
            </w:r>
          </w:p>
        </w:tc>
      </w:tr>
    </w:tbl>
    <w:p w14:paraId="381A6831" w14:textId="6E9EADEC" w:rsidR="00B563EF" w:rsidRPr="00230096" w:rsidRDefault="00B563EF" w:rsidP="00230096">
      <w:p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Data from </w:t>
      </w:r>
      <w:proofErr w:type="spellStart"/>
      <w:r>
        <w:rPr>
          <w:sz w:val="24"/>
          <w:szCs w:val="24"/>
        </w:rPr>
        <w:t>FluVaxView</w:t>
      </w:r>
      <w:proofErr w:type="spellEnd"/>
      <w:r>
        <w:rPr>
          <w:sz w:val="24"/>
          <w:szCs w:val="24"/>
        </w:rPr>
        <w:t xml:space="preserve"> Single Season Dashboards: </w:t>
      </w:r>
      <w:hyperlink r:id="rId6" w:history="1">
        <w:r w:rsidRPr="00AB7EE7">
          <w:rPr>
            <w:rStyle w:val="Hyperlink"/>
            <w:sz w:val="24"/>
            <w:szCs w:val="24"/>
          </w:rPr>
          <w:t>https://www.cdc.gov/flu/fluvaxview/interactive-general-population.htm</w:t>
        </w:r>
      </w:hyperlink>
      <w:r>
        <w:rPr>
          <w:sz w:val="24"/>
          <w:szCs w:val="24"/>
        </w:rPr>
        <w:t xml:space="preserve"> </w:t>
      </w:r>
    </w:p>
    <w:p w14:paraId="7DC5A69D" w14:textId="08E3F0C5" w:rsidR="00856093" w:rsidRDefault="00856093" w:rsidP="00856093">
      <w:pPr>
        <w:spacing w:after="0" w:line="252" w:lineRule="auto"/>
        <w:rPr>
          <w:i/>
          <w:iCs/>
        </w:rPr>
      </w:pPr>
    </w:p>
    <w:p w14:paraId="2B986466" w14:textId="6DCFC4E7" w:rsidR="00B563EF" w:rsidRDefault="00B563EF" w:rsidP="00856093">
      <w:pPr>
        <w:spacing w:after="0" w:line="252" w:lineRule="auto"/>
      </w:pPr>
      <w:r>
        <w:t xml:space="preserve">Influenza vaccination coverage estimates for persons 6 months and older by state, HHS region, and the United States, National Immunization Survey-Flu (NIS-Flu) and Behavioral Risk Factor Surveillance System (BRFSS). </w:t>
      </w:r>
    </w:p>
    <w:p w14:paraId="56C1CC6D" w14:textId="77777777" w:rsidR="00ED5D36" w:rsidRDefault="00ED5D36" w:rsidP="00856093">
      <w:pPr>
        <w:spacing w:after="0" w:line="252" w:lineRule="auto"/>
      </w:pPr>
    </w:p>
    <w:p w14:paraId="5CEC17E3" w14:textId="7BA7C223" w:rsidR="00ED5D36" w:rsidRPr="00230096" w:rsidRDefault="00ED5D36" w:rsidP="00230096">
      <w:pPr>
        <w:pStyle w:val="ListParagraph"/>
        <w:numPr>
          <w:ilvl w:val="1"/>
          <w:numId w:val="3"/>
        </w:numPr>
        <w:spacing w:after="0" w:line="252" w:lineRule="auto"/>
        <w:rPr>
          <w:b/>
          <w:bCs/>
        </w:rPr>
      </w:pPr>
      <w:r w:rsidRPr="00230096">
        <w:rPr>
          <w:b/>
          <w:bCs/>
        </w:rPr>
        <w:t xml:space="preserve">Next Steps? </w:t>
      </w:r>
    </w:p>
    <w:p w14:paraId="3F171BF5" w14:textId="524CA264" w:rsidR="00230096" w:rsidRDefault="00230096">
      <w:r>
        <w:br w:type="page"/>
      </w:r>
    </w:p>
    <w:p w14:paraId="60FECAFD" w14:textId="77777777" w:rsidR="00B563EF" w:rsidRDefault="00B563EF" w:rsidP="00856093">
      <w:pPr>
        <w:spacing w:after="0" w:line="252" w:lineRule="auto"/>
      </w:pPr>
    </w:p>
    <w:p w14:paraId="5009A017" w14:textId="647730DB" w:rsidR="00B563EF" w:rsidRPr="00D447D6" w:rsidRDefault="00B563EF" w:rsidP="00B563EF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i/>
          <w:iCs/>
          <w:sz w:val="24"/>
          <w:szCs w:val="24"/>
        </w:rPr>
      </w:pPr>
      <w:r>
        <w:rPr>
          <w:sz w:val="24"/>
          <w:szCs w:val="24"/>
        </w:rPr>
        <w:t>Data Update (</w:t>
      </w:r>
      <w:proofErr w:type="spellStart"/>
      <w:r>
        <w:rPr>
          <w:sz w:val="24"/>
          <w:szCs w:val="24"/>
        </w:rPr>
        <w:t>MenACWY</w:t>
      </w:r>
      <w:proofErr w:type="spellEnd"/>
      <w:r>
        <w:rPr>
          <w:sz w:val="24"/>
          <w:szCs w:val="24"/>
        </w:rPr>
        <w:t>)</w:t>
      </w:r>
    </w:p>
    <w:p w14:paraId="1C4F6647" w14:textId="5B71D4EE" w:rsidR="00B563EF" w:rsidRPr="00D447D6" w:rsidRDefault="00B563EF" w:rsidP="00B563EF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Target: </w:t>
      </w:r>
      <w:r w:rsidR="006464F1">
        <w:rPr>
          <w:sz w:val="24"/>
          <w:szCs w:val="24"/>
        </w:rPr>
        <w:t>80</w:t>
      </w:r>
      <w:r>
        <w:rPr>
          <w:sz w:val="24"/>
          <w:szCs w:val="24"/>
        </w:rPr>
        <w:t>%</w:t>
      </w:r>
    </w:p>
    <w:p w14:paraId="70EAA88E" w14:textId="77777777" w:rsidR="00B563EF" w:rsidRDefault="00B563EF" w:rsidP="00B563EF">
      <w:pPr>
        <w:spacing w:after="0" w:line="252" w:lineRule="auto"/>
        <w:rPr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B563EF" w:rsidRPr="00D447D6" w14:paraId="2003FE75" w14:textId="77777777" w:rsidTr="00D447D6">
        <w:tc>
          <w:tcPr>
            <w:tcW w:w="3356" w:type="dxa"/>
          </w:tcPr>
          <w:p w14:paraId="75514B5D" w14:textId="1D82245D" w:rsidR="00B563EF" w:rsidRPr="00D447D6" w:rsidRDefault="006464F1" w:rsidP="00D447D6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357" w:type="dxa"/>
          </w:tcPr>
          <w:p w14:paraId="4AC531AF" w14:textId="333E352A" w:rsidR="00B563EF" w:rsidRPr="00D447D6" w:rsidRDefault="006464F1" w:rsidP="00D447D6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Kansas Vaccination </w:t>
            </w:r>
            <w:r w:rsidRPr="00230096">
              <w:rPr>
                <w:sz w:val="24"/>
                <w:szCs w:val="24"/>
              </w:rPr>
              <w:t xml:space="preserve">(13-17 </w:t>
            </w:r>
            <w:proofErr w:type="spellStart"/>
            <w:r w:rsidRPr="00230096">
              <w:rPr>
                <w:sz w:val="24"/>
                <w:szCs w:val="24"/>
              </w:rPr>
              <w:t>Yrs</w:t>
            </w:r>
            <w:proofErr w:type="spellEnd"/>
            <w:r w:rsidRPr="00230096">
              <w:rPr>
                <w:sz w:val="24"/>
                <w:szCs w:val="24"/>
              </w:rPr>
              <w:t>)</w:t>
            </w:r>
          </w:p>
        </w:tc>
        <w:tc>
          <w:tcPr>
            <w:tcW w:w="3357" w:type="dxa"/>
          </w:tcPr>
          <w:p w14:paraId="0A0FED01" w14:textId="4DCC1425" w:rsidR="00B563EF" w:rsidRPr="00D447D6" w:rsidRDefault="006464F1" w:rsidP="00D447D6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US Vaccination </w:t>
            </w:r>
            <w:r w:rsidRPr="00230096">
              <w:rPr>
                <w:sz w:val="24"/>
                <w:szCs w:val="24"/>
              </w:rPr>
              <w:t xml:space="preserve">(13-17 </w:t>
            </w:r>
            <w:proofErr w:type="spellStart"/>
            <w:r w:rsidRPr="00230096">
              <w:rPr>
                <w:sz w:val="24"/>
                <w:szCs w:val="24"/>
              </w:rPr>
              <w:t>Yrs</w:t>
            </w:r>
            <w:proofErr w:type="spellEnd"/>
            <w:r w:rsidRPr="00230096">
              <w:rPr>
                <w:sz w:val="24"/>
                <w:szCs w:val="24"/>
              </w:rPr>
              <w:t>)</w:t>
            </w:r>
          </w:p>
        </w:tc>
      </w:tr>
      <w:tr w:rsidR="00B563EF" w:rsidRPr="00D447D6" w14:paraId="4C04776B" w14:textId="77777777" w:rsidTr="00D447D6">
        <w:tc>
          <w:tcPr>
            <w:tcW w:w="3356" w:type="dxa"/>
            <w:shd w:val="clear" w:color="auto" w:fill="DEEAF6" w:themeFill="accent1" w:themeFillTint="33"/>
          </w:tcPr>
          <w:p w14:paraId="54457FBB" w14:textId="2220FDC8" w:rsidR="00B563EF" w:rsidRPr="00D447D6" w:rsidRDefault="006464F1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57" w:type="dxa"/>
            <w:shd w:val="clear" w:color="auto" w:fill="DEEAF6" w:themeFill="accent1" w:themeFillTint="33"/>
          </w:tcPr>
          <w:p w14:paraId="09420FBD" w14:textId="5200D5AA" w:rsidR="00B563EF" w:rsidRPr="00D447D6" w:rsidRDefault="006464F1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83.3% </w:t>
            </w:r>
            <w:r w:rsidRPr="00230096">
              <w:rPr>
                <w:sz w:val="18"/>
                <w:szCs w:val="18"/>
              </w:rPr>
              <w:t>(+2.6%)</w:t>
            </w:r>
          </w:p>
        </w:tc>
        <w:tc>
          <w:tcPr>
            <w:tcW w:w="3357" w:type="dxa"/>
            <w:shd w:val="clear" w:color="auto" w:fill="DEEAF6" w:themeFill="accent1" w:themeFillTint="33"/>
          </w:tcPr>
          <w:p w14:paraId="4662813A" w14:textId="506B61E2" w:rsidR="00B563EF" w:rsidRPr="00D447D6" w:rsidRDefault="006464F1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89.3% </w:t>
            </w:r>
            <w:r w:rsidRPr="00230096">
              <w:rPr>
                <w:sz w:val="18"/>
                <w:szCs w:val="18"/>
              </w:rPr>
              <w:t>(+0.4%)</w:t>
            </w:r>
          </w:p>
        </w:tc>
      </w:tr>
      <w:tr w:rsidR="00B563EF" w:rsidRPr="00D447D6" w14:paraId="1B6A084E" w14:textId="77777777" w:rsidTr="00D447D6">
        <w:tc>
          <w:tcPr>
            <w:tcW w:w="3356" w:type="dxa"/>
          </w:tcPr>
          <w:p w14:paraId="62662C8B" w14:textId="390C098B" w:rsidR="00B563EF" w:rsidRPr="00D447D6" w:rsidRDefault="006464F1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357" w:type="dxa"/>
          </w:tcPr>
          <w:p w14:paraId="04C7C730" w14:textId="5C810981" w:rsidR="00B563EF" w:rsidRPr="00D447D6" w:rsidRDefault="006464F1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80.7%</w:t>
            </w:r>
          </w:p>
        </w:tc>
        <w:tc>
          <w:tcPr>
            <w:tcW w:w="3357" w:type="dxa"/>
          </w:tcPr>
          <w:p w14:paraId="7F31251F" w14:textId="11478E70" w:rsidR="00B563EF" w:rsidRPr="00D447D6" w:rsidRDefault="006464F1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88.9%</w:t>
            </w:r>
          </w:p>
        </w:tc>
      </w:tr>
      <w:tr w:rsidR="00B563EF" w:rsidRPr="00D447D6" w14:paraId="05342685" w14:textId="77777777" w:rsidTr="00D447D6">
        <w:tc>
          <w:tcPr>
            <w:tcW w:w="3356" w:type="dxa"/>
          </w:tcPr>
          <w:p w14:paraId="4DCD5D7F" w14:textId="55E57381" w:rsidR="00B563EF" w:rsidRPr="00D447D6" w:rsidRDefault="006464F1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357" w:type="dxa"/>
          </w:tcPr>
          <w:p w14:paraId="5A889DB6" w14:textId="40254D51" w:rsidR="00B563EF" w:rsidRPr="00D447D6" w:rsidRDefault="006464F1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75.3%</w:t>
            </w:r>
          </w:p>
        </w:tc>
        <w:tc>
          <w:tcPr>
            <w:tcW w:w="3357" w:type="dxa"/>
          </w:tcPr>
          <w:p w14:paraId="46174162" w14:textId="3668DAF4" w:rsidR="00B563EF" w:rsidRPr="00D447D6" w:rsidRDefault="006464F1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86.6%</w:t>
            </w:r>
          </w:p>
        </w:tc>
      </w:tr>
      <w:tr w:rsidR="00B563EF" w:rsidRPr="00D447D6" w14:paraId="009FFF53" w14:textId="77777777" w:rsidTr="00D447D6">
        <w:tc>
          <w:tcPr>
            <w:tcW w:w="3356" w:type="dxa"/>
          </w:tcPr>
          <w:p w14:paraId="3CB66E98" w14:textId="79848AFD" w:rsidR="00B563EF" w:rsidRPr="00D447D6" w:rsidRDefault="006464F1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357" w:type="dxa"/>
          </w:tcPr>
          <w:p w14:paraId="3DBD927D" w14:textId="301EE678" w:rsidR="00B563EF" w:rsidRPr="00D447D6" w:rsidRDefault="006464F1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72.1%</w:t>
            </w:r>
          </w:p>
        </w:tc>
        <w:tc>
          <w:tcPr>
            <w:tcW w:w="3357" w:type="dxa"/>
          </w:tcPr>
          <w:p w14:paraId="2CA99403" w14:textId="0D349224" w:rsidR="00B563EF" w:rsidRPr="00D447D6" w:rsidRDefault="006464F1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85.1%</w:t>
            </w:r>
          </w:p>
        </w:tc>
      </w:tr>
    </w:tbl>
    <w:p w14:paraId="1165D864" w14:textId="68C67476" w:rsidR="00B563EF" w:rsidRDefault="006464F1" w:rsidP="00856093">
      <w:pPr>
        <w:spacing w:after="0" w:line="252" w:lineRule="auto"/>
      </w:pPr>
      <w:r>
        <w:t xml:space="preserve">Data from </w:t>
      </w:r>
      <w:proofErr w:type="spellStart"/>
      <w:r>
        <w:t>TeenVaxView</w:t>
      </w:r>
      <w:proofErr w:type="spellEnd"/>
      <w:r>
        <w:t xml:space="preserve"> Dashboard: </w:t>
      </w:r>
      <w:hyperlink r:id="rId7" w:history="1">
        <w:r w:rsidRPr="00AB7EE7">
          <w:rPr>
            <w:rStyle w:val="Hyperlink"/>
          </w:rPr>
          <w:t>https://www.cdc.gov/vaccines/imz-managers/coverage/teenvaxview/data-reports/index.html?CDC_AA_refVal=https%3A%2F%2Fwww.cdc.gov%2Fvaccines%2Fimz-managers%2Fcoverage%2Fteenvaxview%2Fdata-reports%2Fmenacwy%2Findex.html</w:t>
        </w:r>
      </w:hyperlink>
      <w:r>
        <w:t xml:space="preserve"> </w:t>
      </w:r>
    </w:p>
    <w:p w14:paraId="206ECB94" w14:textId="5584B824" w:rsidR="006464F1" w:rsidRDefault="006464F1" w:rsidP="00856093">
      <w:pPr>
        <w:spacing w:after="0" w:line="252" w:lineRule="auto"/>
      </w:pPr>
    </w:p>
    <w:p w14:paraId="5F9932F0" w14:textId="63CC4AD6" w:rsidR="006464F1" w:rsidRDefault="006464F1" w:rsidP="00856093">
      <w:pPr>
        <w:spacing w:after="0" w:line="252" w:lineRule="auto"/>
      </w:pPr>
      <w:r>
        <w:t xml:space="preserve">Men ACWY coverage estimates for ages 13-17 years old, by state, HHS Region and the United States. </w:t>
      </w:r>
    </w:p>
    <w:p w14:paraId="2F5FDA65" w14:textId="0B4A28B1" w:rsidR="00ED5D36" w:rsidRDefault="00ED5D36" w:rsidP="00856093">
      <w:pPr>
        <w:spacing w:after="0" w:line="252" w:lineRule="auto"/>
      </w:pPr>
    </w:p>
    <w:p w14:paraId="3707B32B" w14:textId="4AD0AD2C" w:rsidR="00ED5D36" w:rsidRPr="00230096" w:rsidRDefault="00ED5D36" w:rsidP="00ED5D36">
      <w:pPr>
        <w:pStyle w:val="ListParagraph"/>
        <w:numPr>
          <w:ilvl w:val="1"/>
          <w:numId w:val="3"/>
        </w:numPr>
        <w:spacing w:after="0" w:line="252" w:lineRule="auto"/>
        <w:rPr>
          <w:b/>
          <w:bCs/>
        </w:rPr>
      </w:pPr>
      <w:r w:rsidRPr="00230096">
        <w:rPr>
          <w:b/>
          <w:bCs/>
        </w:rPr>
        <w:t xml:space="preserve"> Next Steps? </w:t>
      </w:r>
    </w:p>
    <w:p w14:paraId="42904189" w14:textId="77777777" w:rsidR="00ED5D36" w:rsidRDefault="00ED5D36" w:rsidP="00230096">
      <w:pPr>
        <w:pStyle w:val="ListParagraph"/>
        <w:spacing w:after="0" w:line="252" w:lineRule="auto"/>
        <w:ind w:left="1440"/>
      </w:pPr>
    </w:p>
    <w:p w14:paraId="663B7165" w14:textId="60485A1E" w:rsidR="006464F1" w:rsidRPr="00230096" w:rsidRDefault="006464F1" w:rsidP="006464F1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i/>
          <w:iCs/>
          <w:sz w:val="24"/>
          <w:szCs w:val="24"/>
        </w:rPr>
      </w:pPr>
      <w:r w:rsidRPr="00230096">
        <w:rPr>
          <w:sz w:val="24"/>
          <w:szCs w:val="24"/>
        </w:rPr>
        <w:t>Data Update (HPV)</w:t>
      </w:r>
    </w:p>
    <w:p w14:paraId="117A0B68" w14:textId="209C47CF" w:rsidR="006464F1" w:rsidRPr="00D447D6" w:rsidRDefault="006464F1" w:rsidP="006464F1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i/>
          <w:iCs/>
          <w:sz w:val="24"/>
          <w:szCs w:val="24"/>
        </w:rPr>
      </w:pPr>
      <w:r>
        <w:rPr>
          <w:sz w:val="24"/>
          <w:szCs w:val="24"/>
        </w:rPr>
        <w:t>Target: 80%</w:t>
      </w:r>
      <w:r w:rsidR="00ED5D36">
        <w:rPr>
          <w:sz w:val="24"/>
          <w:szCs w:val="24"/>
        </w:rPr>
        <w:t xml:space="preserve"> </w:t>
      </w:r>
    </w:p>
    <w:p w14:paraId="121454D9" w14:textId="77777777" w:rsidR="006464F1" w:rsidRDefault="006464F1" w:rsidP="006464F1">
      <w:pPr>
        <w:spacing w:after="0" w:line="252" w:lineRule="auto"/>
        <w:rPr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6464F1" w:rsidRPr="00D447D6" w14:paraId="3EC33093" w14:textId="77777777" w:rsidTr="00D447D6">
        <w:tc>
          <w:tcPr>
            <w:tcW w:w="3356" w:type="dxa"/>
          </w:tcPr>
          <w:p w14:paraId="3107C7EC" w14:textId="77777777" w:rsidR="006464F1" w:rsidRPr="00D447D6" w:rsidRDefault="006464F1" w:rsidP="00D447D6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357" w:type="dxa"/>
          </w:tcPr>
          <w:p w14:paraId="128D8054" w14:textId="77777777" w:rsidR="006464F1" w:rsidRPr="00D447D6" w:rsidRDefault="006464F1" w:rsidP="00D447D6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Kansas Vaccination </w:t>
            </w:r>
            <w:r w:rsidRPr="00D447D6">
              <w:rPr>
                <w:sz w:val="24"/>
                <w:szCs w:val="24"/>
              </w:rPr>
              <w:t xml:space="preserve">(13-17 </w:t>
            </w:r>
            <w:proofErr w:type="spellStart"/>
            <w:r w:rsidRPr="00D447D6">
              <w:rPr>
                <w:sz w:val="24"/>
                <w:szCs w:val="24"/>
              </w:rPr>
              <w:t>Yrs</w:t>
            </w:r>
            <w:proofErr w:type="spellEnd"/>
            <w:r w:rsidRPr="00D447D6">
              <w:rPr>
                <w:sz w:val="24"/>
                <w:szCs w:val="24"/>
              </w:rPr>
              <w:t>)</w:t>
            </w:r>
          </w:p>
        </w:tc>
        <w:tc>
          <w:tcPr>
            <w:tcW w:w="3357" w:type="dxa"/>
          </w:tcPr>
          <w:p w14:paraId="5980D6F4" w14:textId="77777777" w:rsidR="006464F1" w:rsidRPr="00D447D6" w:rsidRDefault="006464F1" w:rsidP="00D447D6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US Vaccination </w:t>
            </w:r>
            <w:r w:rsidRPr="00D447D6">
              <w:rPr>
                <w:sz w:val="24"/>
                <w:szCs w:val="24"/>
              </w:rPr>
              <w:t xml:space="preserve">(13-17 </w:t>
            </w:r>
            <w:proofErr w:type="spellStart"/>
            <w:r w:rsidRPr="00D447D6">
              <w:rPr>
                <w:sz w:val="24"/>
                <w:szCs w:val="24"/>
              </w:rPr>
              <w:t>Yrs</w:t>
            </w:r>
            <w:proofErr w:type="spellEnd"/>
            <w:r w:rsidRPr="00D447D6">
              <w:rPr>
                <w:sz w:val="24"/>
                <w:szCs w:val="24"/>
              </w:rPr>
              <w:t>)</w:t>
            </w:r>
          </w:p>
        </w:tc>
      </w:tr>
      <w:tr w:rsidR="006464F1" w:rsidRPr="00D447D6" w14:paraId="03ACB3F9" w14:textId="77777777" w:rsidTr="00D447D6">
        <w:tc>
          <w:tcPr>
            <w:tcW w:w="3356" w:type="dxa"/>
            <w:shd w:val="clear" w:color="auto" w:fill="DEEAF6" w:themeFill="accent1" w:themeFillTint="33"/>
          </w:tcPr>
          <w:p w14:paraId="612B3A63" w14:textId="77777777" w:rsidR="006464F1" w:rsidRPr="00D447D6" w:rsidRDefault="006464F1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57" w:type="dxa"/>
            <w:shd w:val="clear" w:color="auto" w:fill="DEEAF6" w:themeFill="accent1" w:themeFillTint="33"/>
          </w:tcPr>
          <w:p w14:paraId="526BD0A4" w14:textId="1C4FD5AA" w:rsidR="006464F1" w:rsidRPr="00D447D6" w:rsidRDefault="00ED5D36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53.3% </w:t>
            </w:r>
            <w:r w:rsidRPr="00230096">
              <w:rPr>
                <w:sz w:val="18"/>
                <w:szCs w:val="18"/>
              </w:rPr>
              <w:t>(+3.8%)</w:t>
            </w:r>
          </w:p>
        </w:tc>
        <w:tc>
          <w:tcPr>
            <w:tcW w:w="3357" w:type="dxa"/>
            <w:shd w:val="clear" w:color="auto" w:fill="DEEAF6" w:themeFill="accent1" w:themeFillTint="33"/>
          </w:tcPr>
          <w:p w14:paraId="0D2FF3E8" w14:textId="00BBA196" w:rsidR="006464F1" w:rsidRPr="00D447D6" w:rsidRDefault="00ED5D36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58.6%</w:t>
            </w:r>
          </w:p>
        </w:tc>
      </w:tr>
      <w:tr w:rsidR="006464F1" w:rsidRPr="00D447D6" w14:paraId="4FE2F3F2" w14:textId="77777777" w:rsidTr="00D447D6">
        <w:tc>
          <w:tcPr>
            <w:tcW w:w="3356" w:type="dxa"/>
          </w:tcPr>
          <w:p w14:paraId="1380FCC6" w14:textId="77777777" w:rsidR="006464F1" w:rsidRPr="00D447D6" w:rsidRDefault="006464F1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357" w:type="dxa"/>
          </w:tcPr>
          <w:p w14:paraId="566DFCF0" w14:textId="0BC1FBB4" w:rsidR="006464F1" w:rsidRPr="00D447D6" w:rsidRDefault="00ED5D36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49.5%</w:t>
            </w:r>
          </w:p>
        </w:tc>
        <w:tc>
          <w:tcPr>
            <w:tcW w:w="3357" w:type="dxa"/>
          </w:tcPr>
          <w:p w14:paraId="548D6831" w14:textId="297F95A7" w:rsidR="006464F1" w:rsidRPr="00D447D6" w:rsidRDefault="00ED5D36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54.2%</w:t>
            </w:r>
          </w:p>
        </w:tc>
      </w:tr>
      <w:tr w:rsidR="006464F1" w:rsidRPr="00D447D6" w14:paraId="19D3298C" w14:textId="77777777" w:rsidTr="00D447D6">
        <w:tc>
          <w:tcPr>
            <w:tcW w:w="3356" w:type="dxa"/>
          </w:tcPr>
          <w:p w14:paraId="50B56414" w14:textId="77777777" w:rsidR="006464F1" w:rsidRPr="00D447D6" w:rsidRDefault="006464F1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357" w:type="dxa"/>
          </w:tcPr>
          <w:p w14:paraId="59CD32F3" w14:textId="1781931B" w:rsidR="006464F1" w:rsidRPr="00D447D6" w:rsidRDefault="00ED5D36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40.7%</w:t>
            </w:r>
          </w:p>
        </w:tc>
        <w:tc>
          <w:tcPr>
            <w:tcW w:w="3357" w:type="dxa"/>
          </w:tcPr>
          <w:p w14:paraId="30286C65" w14:textId="450B0180" w:rsidR="006464F1" w:rsidRPr="00D447D6" w:rsidRDefault="00ED5D36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51.1%</w:t>
            </w:r>
          </w:p>
        </w:tc>
      </w:tr>
      <w:tr w:rsidR="006464F1" w:rsidRPr="00D447D6" w14:paraId="18DBEBEF" w14:textId="77777777" w:rsidTr="00D447D6">
        <w:tc>
          <w:tcPr>
            <w:tcW w:w="3356" w:type="dxa"/>
          </w:tcPr>
          <w:p w14:paraId="54EDA4F1" w14:textId="77777777" w:rsidR="006464F1" w:rsidRPr="00D447D6" w:rsidRDefault="006464F1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357" w:type="dxa"/>
          </w:tcPr>
          <w:p w14:paraId="3BDD9D86" w14:textId="3720C6AA" w:rsidR="006464F1" w:rsidRPr="00D447D6" w:rsidRDefault="00ED5D36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34.4%</w:t>
            </w:r>
          </w:p>
        </w:tc>
        <w:tc>
          <w:tcPr>
            <w:tcW w:w="3357" w:type="dxa"/>
          </w:tcPr>
          <w:p w14:paraId="3FF0EDB4" w14:textId="3C6274CE" w:rsidR="006464F1" w:rsidRPr="00D447D6" w:rsidRDefault="00ED5D36" w:rsidP="00D447D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48.6%</w:t>
            </w:r>
          </w:p>
        </w:tc>
      </w:tr>
    </w:tbl>
    <w:p w14:paraId="47F6E59F" w14:textId="77777777" w:rsidR="006464F1" w:rsidRDefault="006464F1" w:rsidP="006464F1">
      <w:pPr>
        <w:spacing w:after="0" w:line="252" w:lineRule="auto"/>
      </w:pPr>
      <w:r>
        <w:t xml:space="preserve">Data from </w:t>
      </w:r>
      <w:proofErr w:type="spellStart"/>
      <w:r>
        <w:t>TeenVaxView</w:t>
      </w:r>
      <w:proofErr w:type="spellEnd"/>
      <w:r>
        <w:t xml:space="preserve"> Dashboard: </w:t>
      </w:r>
      <w:hyperlink r:id="rId8" w:history="1">
        <w:r w:rsidRPr="00AB7EE7">
          <w:rPr>
            <w:rStyle w:val="Hyperlink"/>
          </w:rPr>
          <w:t>https://www.cdc.gov/vaccines/imz-managers/coverage/teenvaxview/data-reports/index.html?CDC_AA_refVal=https%3A%2F%2Fwww.cdc.gov%2Fvaccines%2Fimz-managers%2Fcoverage%2Fteenvaxview%2Fdata-reports%2Fmenacwy%2Findex.html</w:t>
        </w:r>
      </w:hyperlink>
      <w:r>
        <w:t xml:space="preserve"> </w:t>
      </w:r>
    </w:p>
    <w:p w14:paraId="65D3EEA2" w14:textId="77777777" w:rsidR="006464F1" w:rsidRDefault="006464F1" w:rsidP="006464F1">
      <w:pPr>
        <w:spacing w:after="0" w:line="252" w:lineRule="auto"/>
      </w:pPr>
    </w:p>
    <w:p w14:paraId="0E76AFF2" w14:textId="1E2CBA05" w:rsidR="006464F1" w:rsidRDefault="00ED5D36" w:rsidP="006464F1">
      <w:pPr>
        <w:spacing w:after="0" w:line="252" w:lineRule="auto"/>
      </w:pPr>
      <w:r>
        <w:t>HPV Up-to-Date, Males and Females</w:t>
      </w:r>
      <w:r w:rsidR="006464F1">
        <w:t xml:space="preserve"> coverage estimates for ages 13-17 years old, by state, HHS Region and the United States. </w:t>
      </w:r>
    </w:p>
    <w:p w14:paraId="7A1B6010" w14:textId="332EEDD3" w:rsidR="006464F1" w:rsidRDefault="006464F1" w:rsidP="00856093">
      <w:pPr>
        <w:spacing w:after="0" w:line="252" w:lineRule="auto"/>
      </w:pPr>
    </w:p>
    <w:p w14:paraId="2A669550" w14:textId="7A5215F0" w:rsidR="00ED5D36" w:rsidRPr="00230096" w:rsidRDefault="00ED5D36" w:rsidP="00230096">
      <w:pPr>
        <w:pStyle w:val="ListParagraph"/>
        <w:numPr>
          <w:ilvl w:val="1"/>
          <w:numId w:val="3"/>
        </w:numPr>
        <w:spacing w:after="0" w:line="252" w:lineRule="auto"/>
        <w:rPr>
          <w:b/>
          <w:bCs/>
        </w:rPr>
      </w:pPr>
      <w:r w:rsidRPr="00230096">
        <w:rPr>
          <w:b/>
          <w:bCs/>
        </w:rPr>
        <w:t xml:space="preserve">Next Steps? </w:t>
      </w:r>
    </w:p>
    <w:p w14:paraId="23D27D0F" w14:textId="77777777" w:rsidR="00F041AB" w:rsidRPr="00273CB3" w:rsidRDefault="00F041AB" w:rsidP="00273CB3">
      <w:pPr>
        <w:spacing w:after="0" w:line="252" w:lineRule="auto"/>
        <w:rPr>
          <w:sz w:val="12"/>
          <w:szCs w:val="12"/>
        </w:rPr>
      </w:pPr>
    </w:p>
    <w:p w14:paraId="533E3099" w14:textId="161896EF" w:rsidR="009C3F9F" w:rsidRPr="00882CC0" w:rsidRDefault="00E86FD4" w:rsidP="009C3F9F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sz w:val="24"/>
          <w:szCs w:val="24"/>
        </w:rPr>
      </w:pPr>
      <w:r w:rsidRPr="00882CC0">
        <w:rPr>
          <w:sz w:val="24"/>
          <w:szCs w:val="24"/>
        </w:rPr>
        <w:t>Other Business</w:t>
      </w:r>
    </w:p>
    <w:p w14:paraId="3B1467BD" w14:textId="77777777" w:rsidR="00202D25" w:rsidRPr="00856093" w:rsidRDefault="00202D25" w:rsidP="00202D25">
      <w:pPr>
        <w:spacing w:after="0" w:line="252" w:lineRule="auto"/>
        <w:ind w:left="360"/>
      </w:pPr>
    </w:p>
    <w:p w14:paraId="4F6EF133" w14:textId="04F57686" w:rsidR="007647C0" w:rsidRPr="00882CC0" w:rsidRDefault="00F62A9C" w:rsidP="001171BB">
      <w:pPr>
        <w:pStyle w:val="ListParagraph"/>
        <w:numPr>
          <w:ilvl w:val="0"/>
          <w:numId w:val="3"/>
        </w:numPr>
        <w:spacing w:after="120" w:line="252" w:lineRule="auto"/>
        <w:ind w:left="360"/>
        <w:contextualSpacing w:val="0"/>
        <w:rPr>
          <w:sz w:val="24"/>
          <w:szCs w:val="24"/>
        </w:rPr>
      </w:pPr>
      <w:r w:rsidRPr="00882CC0">
        <w:rPr>
          <w:sz w:val="24"/>
          <w:szCs w:val="24"/>
        </w:rPr>
        <w:t>Adjourn</w:t>
      </w:r>
    </w:p>
    <w:sectPr w:rsidR="007647C0" w:rsidRPr="00882CC0" w:rsidSect="00D55E2E">
      <w:pgSz w:w="12240" w:h="15840"/>
      <w:pgMar w:top="90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B6C"/>
    <w:multiLevelType w:val="hybridMultilevel"/>
    <w:tmpl w:val="7D2A35D2"/>
    <w:lvl w:ilvl="0" w:tplc="7D5E269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52D8"/>
    <w:multiLevelType w:val="hybridMultilevel"/>
    <w:tmpl w:val="DD7C68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DD6E31"/>
    <w:multiLevelType w:val="hybridMultilevel"/>
    <w:tmpl w:val="1758E976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BCE2488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684EDF7E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3034C3AA">
      <w:start w:val="1"/>
      <w:numFmt w:val="decimal"/>
      <w:lvlText w:val="(%4)"/>
      <w:lvlJc w:val="left"/>
      <w:pPr>
        <w:ind w:left="2880" w:hanging="360"/>
      </w:pPr>
      <w:rPr>
        <w:rFonts w:hint="default"/>
        <w:b w:val="0"/>
        <w:i w:val="0"/>
      </w:rPr>
    </w:lvl>
    <w:lvl w:ilvl="4" w:tplc="E39ED2D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04F15"/>
    <w:multiLevelType w:val="hybridMultilevel"/>
    <w:tmpl w:val="4C18BDE6"/>
    <w:lvl w:ilvl="0" w:tplc="35321576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6930AE1"/>
    <w:multiLevelType w:val="hybridMultilevel"/>
    <w:tmpl w:val="FA08CB90"/>
    <w:lvl w:ilvl="0" w:tplc="7D5E2696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F25CAE"/>
    <w:multiLevelType w:val="hybridMultilevel"/>
    <w:tmpl w:val="A81CAAFA"/>
    <w:lvl w:ilvl="0" w:tplc="7D5E269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01854"/>
    <w:multiLevelType w:val="hybridMultilevel"/>
    <w:tmpl w:val="2C9A73E4"/>
    <w:lvl w:ilvl="0" w:tplc="7D5E269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16469"/>
    <w:multiLevelType w:val="hybridMultilevel"/>
    <w:tmpl w:val="CF940E06"/>
    <w:lvl w:ilvl="0" w:tplc="1BCE2488">
      <w:start w:val="1"/>
      <w:numFmt w:val="lowerLetter"/>
      <w:lvlText w:val="%1."/>
      <w:lvlJc w:val="left"/>
      <w:pPr>
        <w:ind w:left="180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535334"/>
    <w:multiLevelType w:val="hybridMultilevel"/>
    <w:tmpl w:val="63D2D5D6"/>
    <w:lvl w:ilvl="0" w:tplc="7D5E269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  <w:sz w:val="20"/>
        <w:szCs w:val="20"/>
      </w:rPr>
    </w:lvl>
    <w:lvl w:ilvl="2" w:tplc="684EDF7E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39ED2D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375E6"/>
    <w:multiLevelType w:val="hybridMultilevel"/>
    <w:tmpl w:val="A9828326"/>
    <w:lvl w:ilvl="0" w:tplc="3D94C46A">
      <w:start w:val="1"/>
      <w:numFmt w:val="lowerLetter"/>
      <w:lvlText w:val="%1."/>
      <w:lvlJc w:val="left"/>
      <w:pPr>
        <w:ind w:left="1861" w:hanging="360"/>
      </w:pPr>
      <w:rPr>
        <w:b w:val="0"/>
        <w:color w:val="auto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ind w:left="1861" w:hanging="360"/>
      </w:pPr>
    </w:lvl>
    <w:lvl w:ilvl="2" w:tplc="0409001B">
      <w:start w:val="1"/>
      <w:numFmt w:val="lowerRoman"/>
      <w:lvlText w:val="%3."/>
      <w:lvlJc w:val="right"/>
      <w:pPr>
        <w:ind w:left="2581" w:hanging="180"/>
      </w:pPr>
    </w:lvl>
    <w:lvl w:ilvl="3" w:tplc="0409000F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1" w15:restartNumberingAfterBreak="0">
    <w:nsid w:val="4C0C35F2"/>
    <w:multiLevelType w:val="hybridMultilevel"/>
    <w:tmpl w:val="4F04D36E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D94C46A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  <w:sz w:val="24"/>
        <w:szCs w:val="22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39ED2D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A89E33F8">
      <w:numFmt w:val="bullet"/>
      <w:lvlText w:val="-"/>
      <w:lvlJc w:val="left"/>
      <w:pPr>
        <w:ind w:left="4500" w:hanging="360"/>
      </w:pPr>
      <w:rPr>
        <w:rFonts w:ascii="Calibri" w:eastAsiaTheme="minorHAnsi" w:hAnsi="Calibri" w:cs="Calibri" w:hint="default"/>
        <w:color w:val="4472C4" w:themeColor="accent5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41E3E"/>
    <w:multiLevelType w:val="hybridMultilevel"/>
    <w:tmpl w:val="688E6B68"/>
    <w:lvl w:ilvl="0" w:tplc="85D6CF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5A43813"/>
    <w:multiLevelType w:val="hybridMultilevel"/>
    <w:tmpl w:val="E918D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CE07D3"/>
    <w:multiLevelType w:val="hybridMultilevel"/>
    <w:tmpl w:val="C7221FA2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BCE2488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39ED2D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0465E"/>
    <w:multiLevelType w:val="hybridMultilevel"/>
    <w:tmpl w:val="A05EA03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1BCE2488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684EDF7E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39ED2D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916F3"/>
    <w:multiLevelType w:val="hybridMultilevel"/>
    <w:tmpl w:val="4E7E9B44"/>
    <w:lvl w:ilvl="0" w:tplc="0409000F">
      <w:start w:val="1"/>
      <w:numFmt w:val="decimal"/>
      <w:lvlText w:val="%1."/>
      <w:lvlJc w:val="left"/>
      <w:pPr>
        <w:ind w:left="1141" w:hanging="360"/>
      </w:pPr>
    </w:lvl>
    <w:lvl w:ilvl="1" w:tplc="04090019">
      <w:start w:val="1"/>
      <w:numFmt w:val="lowerLetter"/>
      <w:lvlText w:val="%2."/>
      <w:lvlJc w:val="left"/>
      <w:pPr>
        <w:ind w:left="1861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7" w15:restartNumberingAfterBreak="0">
    <w:nsid w:val="5CFE4591"/>
    <w:multiLevelType w:val="hybridMultilevel"/>
    <w:tmpl w:val="18C825DA"/>
    <w:lvl w:ilvl="0" w:tplc="55E218BA">
      <w:start w:val="20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1D4F93"/>
    <w:multiLevelType w:val="hybridMultilevel"/>
    <w:tmpl w:val="47C2539A"/>
    <w:lvl w:ilvl="0" w:tplc="9A50813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AFB08C8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iCs w:val="0"/>
        <w:color w:val="auto"/>
        <w:sz w:val="24"/>
        <w:szCs w:val="22"/>
      </w:rPr>
    </w:lvl>
    <w:lvl w:ilvl="2" w:tplc="684EDF7E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39ED2D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503DC"/>
    <w:multiLevelType w:val="hybridMultilevel"/>
    <w:tmpl w:val="7A5A5D24"/>
    <w:lvl w:ilvl="0" w:tplc="1BCE2488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1BCE2488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684EDF7E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39ED2D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21FBA"/>
    <w:multiLevelType w:val="hybridMultilevel"/>
    <w:tmpl w:val="B664CFF8"/>
    <w:lvl w:ilvl="0" w:tplc="D6BC7D3A">
      <w:start w:val="6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81032"/>
    <w:multiLevelType w:val="hybridMultilevel"/>
    <w:tmpl w:val="0D1AF23A"/>
    <w:lvl w:ilvl="0" w:tplc="1BCE2488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1BCE2488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684EDF7E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39ED2D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422D2"/>
    <w:multiLevelType w:val="hybridMultilevel"/>
    <w:tmpl w:val="95AEC6B4"/>
    <w:lvl w:ilvl="0" w:tplc="7D5E269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C5412"/>
    <w:multiLevelType w:val="hybridMultilevel"/>
    <w:tmpl w:val="1972A398"/>
    <w:lvl w:ilvl="0" w:tplc="9606F2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8"/>
  </w:num>
  <w:num w:numId="4">
    <w:abstractNumId w:val="7"/>
  </w:num>
  <w:num w:numId="5">
    <w:abstractNumId w:val="3"/>
  </w:num>
  <w:num w:numId="6">
    <w:abstractNumId w:val="12"/>
  </w:num>
  <w:num w:numId="7">
    <w:abstractNumId w:val="21"/>
  </w:num>
  <w:num w:numId="8">
    <w:abstractNumId w:val="19"/>
  </w:num>
  <w:num w:numId="9">
    <w:abstractNumId w:val="2"/>
  </w:num>
  <w:num w:numId="10">
    <w:abstractNumId w:val="17"/>
  </w:num>
  <w:num w:numId="11">
    <w:abstractNumId w:val="1"/>
  </w:num>
  <w:num w:numId="12">
    <w:abstractNumId w:val="14"/>
  </w:num>
  <w:num w:numId="13">
    <w:abstractNumId w:val="15"/>
  </w:num>
  <w:num w:numId="14">
    <w:abstractNumId w:val="23"/>
  </w:num>
  <w:num w:numId="15">
    <w:abstractNumId w:val="16"/>
  </w:num>
  <w:num w:numId="16">
    <w:abstractNumId w:val="10"/>
  </w:num>
  <w:num w:numId="17">
    <w:abstractNumId w:val="11"/>
  </w:num>
  <w:num w:numId="18">
    <w:abstractNumId w:val="13"/>
  </w:num>
  <w:num w:numId="19">
    <w:abstractNumId w:val="22"/>
  </w:num>
  <w:num w:numId="20">
    <w:abstractNumId w:val="5"/>
  </w:num>
  <w:num w:numId="21">
    <w:abstractNumId w:val="0"/>
  </w:num>
  <w:num w:numId="22">
    <w:abstractNumId w:val="4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41"/>
    <w:rsid w:val="00023423"/>
    <w:rsid w:val="00081D04"/>
    <w:rsid w:val="000868E8"/>
    <w:rsid w:val="000A0F89"/>
    <w:rsid w:val="000A5089"/>
    <w:rsid w:val="000A7D5D"/>
    <w:rsid w:val="000C5AAA"/>
    <w:rsid w:val="000D7095"/>
    <w:rsid w:val="000D7638"/>
    <w:rsid w:val="000F7523"/>
    <w:rsid w:val="00101175"/>
    <w:rsid w:val="00107124"/>
    <w:rsid w:val="001171BB"/>
    <w:rsid w:val="00130BED"/>
    <w:rsid w:val="00152646"/>
    <w:rsid w:val="001575B2"/>
    <w:rsid w:val="00171350"/>
    <w:rsid w:val="001C50E3"/>
    <w:rsid w:val="001E6A4A"/>
    <w:rsid w:val="00202D25"/>
    <w:rsid w:val="0020316F"/>
    <w:rsid w:val="002065C2"/>
    <w:rsid w:val="00230096"/>
    <w:rsid w:val="002634ED"/>
    <w:rsid w:val="00273CB3"/>
    <w:rsid w:val="002A039B"/>
    <w:rsid w:val="002A7DFC"/>
    <w:rsid w:val="002C09F1"/>
    <w:rsid w:val="002D6302"/>
    <w:rsid w:val="002E51B2"/>
    <w:rsid w:val="00305340"/>
    <w:rsid w:val="00313B87"/>
    <w:rsid w:val="0032112B"/>
    <w:rsid w:val="003718CF"/>
    <w:rsid w:val="00375BC5"/>
    <w:rsid w:val="00376639"/>
    <w:rsid w:val="0038077E"/>
    <w:rsid w:val="003B4658"/>
    <w:rsid w:val="003B6B9C"/>
    <w:rsid w:val="003C0BAB"/>
    <w:rsid w:val="003C7E7D"/>
    <w:rsid w:val="003D3FB2"/>
    <w:rsid w:val="003D5A08"/>
    <w:rsid w:val="004041DF"/>
    <w:rsid w:val="00422BEE"/>
    <w:rsid w:val="00427ADC"/>
    <w:rsid w:val="00433DE7"/>
    <w:rsid w:val="00443A0F"/>
    <w:rsid w:val="004521A4"/>
    <w:rsid w:val="00474672"/>
    <w:rsid w:val="00485144"/>
    <w:rsid w:val="004A00E8"/>
    <w:rsid w:val="004B4FD3"/>
    <w:rsid w:val="004F6808"/>
    <w:rsid w:val="005060A0"/>
    <w:rsid w:val="005259F1"/>
    <w:rsid w:val="005341BE"/>
    <w:rsid w:val="00562654"/>
    <w:rsid w:val="005773BF"/>
    <w:rsid w:val="00592BF7"/>
    <w:rsid w:val="005A7BC7"/>
    <w:rsid w:val="005C1026"/>
    <w:rsid w:val="005C5033"/>
    <w:rsid w:val="005C56CF"/>
    <w:rsid w:val="005F56BB"/>
    <w:rsid w:val="005F7C76"/>
    <w:rsid w:val="005F7EB7"/>
    <w:rsid w:val="006419EE"/>
    <w:rsid w:val="006464F1"/>
    <w:rsid w:val="00667E99"/>
    <w:rsid w:val="00696A09"/>
    <w:rsid w:val="006A5F28"/>
    <w:rsid w:val="006C416F"/>
    <w:rsid w:val="006D1F31"/>
    <w:rsid w:val="006D597D"/>
    <w:rsid w:val="006E4845"/>
    <w:rsid w:val="006F0A22"/>
    <w:rsid w:val="00706486"/>
    <w:rsid w:val="007429BA"/>
    <w:rsid w:val="00757693"/>
    <w:rsid w:val="00763263"/>
    <w:rsid w:val="007647C0"/>
    <w:rsid w:val="0077205A"/>
    <w:rsid w:val="00776AA3"/>
    <w:rsid w:val="007821CC"/>
    <w:rsid w:val="007B058C"/>
    <w:rsid w:val="007F6B57"/>
    <w:rsid w:val="00825014"/>
    <w:rsid w:val="00856093"/>
    <w:rsid w:val="00882CC0"/>
    <w:rsid w:val="0088541F"/>
    <w:rsid w:val="008950EB"/>
    <w:rsid w:val="0089542B"/>
    <w:rsid w:val="008C50F1"/>
    <w:rsid w:val="008E1543"/>
    <w:rsid w:val="008F70C1"/>
    <w:rsid w:val="008F7BBB"/>
    <w:rsid w:val="00912672"/>
    <w:rsid w:val="009146C4"/>
    <w:rsid w:val="009314B6"/>
    <w:rsid w:val="00974381"/>
    <w:rsid w:val="009757B6"/>
    <w:rsid w:val="00984B58"/>
    <w:rsid w:val="009A7943"/>
    <w:rsid w:val="009C32ED"/>
    <w:rsid w:val="009C3E04"/>
    <w:rsid w:val="009C3F9F"/>
    <w:rsid w:val="009C43EC"/>
    <w:rsid w:val="009E153C"/>
    <w:rsid w:val="009F6BAC"/>
    <w:rsid w:val="00A034F1"/>
    <w:rsid w:val="00A03A89"/>
    <w:rsid w:val="00A4191B"/>
    <w:rsid w:val="00A450ED"/>
    <w:rsid w:val="00A50B8B"/>
    <w:rsid w:val="00A618FF"/>
    <w:rsid w:val="00A80B67"/>
    <w:rsid w:val="00A80CCC"/>
    <w:rsid w:val="00A83338"/>
    <w:rsid w:val="00AE07C3"/>
    <w:rsid w:val="00AF759C"/>
    <w:rsid w:val="00B221E1"/>
    <w:rsid w:val="00B32EEF"/>
    <w:rsid w:val="00B51841"/>
    <w:rsid w:val="00B52E16"/>
    <w:rsid w:val="00B563EF"/>
    <w:rsid w:val="00B70944"/>
    <w:rsid w:val="00B72FA9"/>
    <w:rsid w:val="00BA66FF"/>
    <w:rsid w:val="00BB0C89"/>
    <w:rsid w:val="00BD5F6C"/>
    <w:rsid w:val="00C17E17"/>
    <w:rsid w:val="00C308AE"/>
    <w:rsid w:val="00C50F37"/>
    <w:rsid w:val="00C53D58"/>
    <w:rsid w:val="00C568A1"/>
    <w:rsid w:val="00C61B45"/>
    <w:rsid w:val="00C67FEA"/>
    <w:rsid w:val="00C772DC"/>
    <w:rsid w:val="00C92843"/>
    <w:rsid w:val="00CA0DF6"/>
    <w:rsid w:val="00CB5536"/>
    <w:rsid w:val="00CB5677"/>
    <w:rsid w:val="00CE2F00"/>
    <w:rsid w:val="00CE5756"/>
    <w:rsid w:val="00D05494"/>
    <w:rsid w:val="00D177B2"/>
    <w:rsid w:val="00D24D48"/>
    <w:rsid w:val="00D3256B"/>
    <w:rsid w:val="00D32F6C"/>
    <w:rsid w:val="00D34B9A"/>
    <w:rsid w:val="00D43049"/>
    <w:rsid w:val="00D54944"/>
    <w:rsid w:val="00D54DC6"/>
    <w:rsid w:val="00D55E2E"/>
    <w:rsid w:val="00D72CDD"/>
    <w:rsid w:val="00D80149"/>
    <w:rsid w:val="00D90CF3"/>
    <w:rsid w:val="00D961D3"/>
    <w:rsid w:val="00D973BB"/>
    <w:rsid w:val="00DC4B88"/>
    <w:rsid w:val="00DC6F65"/>
    <w:rsid w:val="00DE1958"/>
    <w:rsid w:val="00DE19AE"/>
    <w:rsid w:val="00DE33B5"/>
    <w:rsid w:val="00DE5B0F"/>
    <w:rsid w:val="00E207F2"/>
    <w:rsid w:val="00E311A6"/>
    <w:rsid w:val="00E31F35"/>
    <w:rsid w:val="00E3311C"/>
    <w:rsid w:val="00E33961"/>
    <w:rsid w:val="00E86FD4"/>
    <w:rsid w:val="00E9737B"/>
    <w:rsid w:val="00EA5BF9"/>
    <w:rsid w:val="00EA6EC4"/>
    <w:rsid w:val="00EB0485"/>
    <w:rsid w:val="00EC4BD0"/>
    <w:rsid w:val="00EC535C"/>
    <w:rsid w:val="00ED5D36"/>
    <w:rsid w:val="00EE5CEC"/>
    <w:rsid w:val="00F0060E"/>
    <w:rsid w:val="00F041AB"/>
    <w:rsid w:val="00F50563"/>
    <w:rsid w:val="00F527F5"/>
    <w:rsid w:val="00F5503A"/>
    <w:rsid w:val="00F62A9C"/>
    <w:rsid w:val="00F933DC"/>
    <w:rsid w:val="00FA3C07"/>
    <w:rsid w:val="00FB487B"/>
    <w:rsid w:val="00FB6F1D"/>
    <w:rsid w:val="00FB7DC8"/>
    <w:rsid w:val="00FD5940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61C5"/>
  <w15:chartTrackingRefBased/>
  <w15:docId w15:val="{151704F9-76D5-40F7-BB6B-E3BA3737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841"/>
  </w:style>
  <w:style w:type="paragraph" w:styleId="Heading3">
    <w:name w:val="heading 3"/>
    <w:basedOn w:val="Normal"/>
    <w:link w:val="Heading3Char"/>
    <w:uiPriority w:val="9"/>
    <w:qFormat/>
    <w:rsid w:val="002031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518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84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518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B51841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4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A8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207F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7AD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3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0316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0316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vaccines/imz-managers/coverage/teenvaxview/data-reports/index.html?CDC_AA_refVal=https%3A%2F%2Fwww.cdc.gov%2Fvaccines%2Fimz-managers%2Fcoverage%2Fteenvaxview%2Fdata-reports%2Fmenacwy%2F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vaccines/imz-managers/coverage/teenvaxview/data-reports/index.html?CDC_AA_refVal=https%3A%2F%2Fwww.cdc.gov%2Fvaccines%2Fimz-managers%2Fcoverage%2Fteenvaxview%2Fdata-reports%2Fmenacwy%2F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flu/fluvaxview/interactive-general-population.ht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J. Satzler</dc:creator>
  <cp:keywords/>
  <dc:description/>
  <cp:lastModifiedBy>Emily Bailey</cp:lastModifiedBy>
  <cp:revision>2</cp:revision>
  <cp:lastPrinted>2017-10-25T17:37:00Z</cp:lastPrinted>
  <dcterms:created xsi:type="dcterms:W3CDTF">2021-11-03T16:21:00Z</dcterms:created>
  <dcterms:modified xsi:type="dcterms:W3CDTF">2021-11-03T16:21:00Z</dcterms:modified>
</cp:coreProperties>
</file>